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C6413" w14:textId="17926486"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143ABE">
        <w:rPr>
          <w:rFonts w:eastAsiaTheme="minorEastAsia" w:cs="Arial"/>
          <w:bCs/>
          <w:noProof w:val="0"/>
          <w:sz w:val="22"/>
          <w:szCs w:val="22"/>
          <w:lang w:eastAsia="zh-CN"/>
        </w:rPr>
        <w:t>4</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420B54" w:rsidRPr="00420B54">
        <w:rPr>
          <w:rFonts w:eastAsiaTheme="minorEastAsia" w:cs="Arial"/>
          <w:bCs/>
          <w:noProof w:val="0"/>
          <w:sz w:val="22"/>
          <w:szCs w:val="22"/>
          <w:lang w:eastAsia="zh-CN"/>
        </w:rPr>
        <w:t>2213646</w:t>
      </w:r>
    </w:p>
    <w:p w14:paraId="26A8131B" w14:textId="7842334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bookmarkStart w:id="0" w:name="_Hlk100843778"/>
      <w:r w:rsidR="00143ABE">
        <w:rPr>
          <w:rFonts w:eastAsiaTheme="minorEastAsia" w:cs="Arial"/>
          <w:bCs/>
          <w:noProof w:val="0"/>
          <w:sz w:val="22"/>
          <w:szCs w:val="22"/>
          <w:lang w:eastAsia="zh-CN"/>
        </w:rPr>
        <w:t>August</w:t>
      </w:r>
      <w:r w:rsidR="003A7DC4" w:rsidRPr="00F55326">
        <w:rPr>
          <w:rFonts w:eastAsiaTheme="minorEastAsia" w:cs="Arial"/>
          <w:bCs/>
          <w:noProof w:val="0"/>
          <w:sz w:val="22"/>
          <w:szCs w:val="22"/>
          <w:lang w:eastAsia="zh-CN"/>
        </w:rPr>
        <w:t xml:space="preserve"> </w:t>
      </w:r>
      <w:r w:rsidR="00143ABE">
        <w:rPr>
          <w:rFonts w:eastAsiaTheme="minorEastAsia" w:cs="Arial"/>
          <w:bCs/>
          <w:noProof w:val="0"/>
          <w:sz w:val="22"/>
          <w:szCs w:val="22"/>
          <w:lang w:eastAsia="zh-CN"/>
        </w:rPr>
        <w:t>15</w:t>
      </w:r>
      <w:r w:rsidR="003A7DC4">
        <w:rPr>
          <w:rFonts w:eastAsiaTheme="minorEastAsia" w:cs="Arial"/>
          <w:bCs/>
          <w:noProof w:val="0"/>
          <w:sz w:val="22"/>
          <w:szCs w:val="22"/>
          <w:vertAlign w:val="superscript"/>
          <w:lang w:eastAsia="zh-CN"/>
        </w:rPr>
        <w:t xml:space="preserve">th </w:t>
      </w:r>
      <w:r w:rsidR="003A7DC4" w:rsidRPr="00F55326">
        <w:rPr>
          <w:rFonts w:eastAsiaTheme="minorEastAsia" w:cs="Arial"/>
          <w:bCs/>
          <w:noProof w:val="0"/>
          <w:sz w:val="22"/>
          <w:szCs w:val="22"/>
          <w:lang w:eastAsia="zh-CN"/>
        </w:rPr>
        <w:t xml:space="preserve">- </w:t>
      </w:r>
      <w:r w:rsidR="003A7DC4">
        <w:rPr>
          <w:rFonts w:eastAsiaTheme="minorEastAsia" w:cs="Arial"/>
          <w:bCs/>
          <w:noProof w:val="0"/>
          <w:sz w:val="22"/>
          <w:szCs w:val="22"/>
          <w:lang w:eastAsia="zh-CN"/>
        </w:rPr>
        <w:t>2</w:t>
      </w:r>
      <w:r w:rsidR="00143ABE">
        <w:rPr>
          <w:rFonts w:eastAsiaTheme="minorEastAsia" w:cs="Arial"/>
          <w:bCs/>
          <w:noProof w:val="0"/>
          <w:sz w:val="22"/>
          <w:szCs w:val="22"/>
          <w:lang w:eastAsia="zh-CN"/>
        </w:rPr>
        <w:t>6</w:t>
      </w:r>
      <w:r w:rsidR="003A7DC4">
        <w:rPr>
          <w:rFonts w:eastAsiaTheme="minorEastAsia" w:cs="Arial"/>
          <w:bCs/>
          <w:noProof w:val="0"/>
          <w:sz w:val="22"/>
          <w:szCs w:val="22"/>
          <w:vertAlign w:val="superscript"/>
          <w:lang w:eastAsia="zh-CN"/>
        </w:rPr>
        <w:t>th</w:t>
      </w:r>
      <w:bookmarkEnd w:id="0"/>
      <w:r w:rsidR="00E1732E" w:rsidRPr="00C12B3F">
        <w:rPr>
          <w:rFonts w:eastAsiaTheme="minorEastAsia" w:cs="Arial"/>
          <w:bCs/>
          <w:noProof w:val="0"/>
          <w:sz w:val="22"/>
          <w:szCs w:val="22"/>
          <w:lang w:eastAsia="zh-CN"/>
        </w:rPr>
        <w:t>,</w:t>
      </w:r>
      <w:r w:rsidRPr="000810C5">
        <w:rPr>
          <w:rFonts w:eastAsiaTheme="minorEastAsia" w:cs="Arial"/>
          <w:bCs/>
          <w:noProof w:val="0"/>
          <w:sz w:val="22"/>
          <w:szCs w:val="22"/>
          <w:lang w:eastAsia="zh-CN"/>
        </w:rPr>
        <w:t xml:space="preserve"> 202</w:t>
      </w:r>
      <w:r w:rsidR="009C78E5" w:rsidRPr="000810C5">
        <w:rPr>
          <w:rFonts w:eastAsiaTheme="minorEastAsia" w:cs="Arial"/>
          <w:bCs/>
          <w:noProof w:val="0"/>
          <w:sz w:val="22"/>
          <w:szCs w:val="22"/>
          <w:lang w:eastAsia="zh-CN"/>
        </w:rPr>
        <w:t>2</w:t>
      </w:r>
    </w:p>
    <w:p w14:paraId="18F1C35C" w14:textId="1D3ECE1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3A7DC4">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w:t>
      </w:r>
      <w:r w:rsidR="003A7DC4">
        <w:rPr>
          <w:rFonts w:eastAsiaTheme="minorEastAsia" w:cs="Arial"/>
          <w:bCs/>
          <w:noProof w:val="0"/>
          <w:sz w:val="22"/>
          <w:szCs w:val="22"/>
          <w:lang w:eastAsia="zh-CN"/>
        </w:rPr>
        <w:t>1</w:t>
      </w:r>
      <w:r w:rsidR="00110119">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w:t>
      </w:r>
      <w:r w:rsidR="00381785">
        <w:rPr>
          <w:rFonts w:eastAsiaTheme="minorEastAsia" w:cs="Arial"/>
          <w:bCs/>
          <w:noProof w:val="0"/>
          <w:sz w:val="22"/>
          <w:szCs w:val="22"/>
          <w:lang w:eastAsia="zh-CN"/>
        </w:rPr>
        <w:t>5</w:t>
      </w:r>
    </w:p>
    <w:p w14:paraId="0DE05E04" w14:textId="27F888FA"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73837EC4" w14:textId="758247E5"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671DC8">
        <w:rPr>
          <w:rFonts w:eastAsiaTheme="minorEastAsia" w:cs="Arial"/>
          <w:bCs/>
          <w:noProof w:val="0"/>
          <w:sz w:val="22"/>
          <w:szCs w:val="22"/>
          <w:lang w:eastAsia="zh-CN"/>
        </w:rPr>
        <w:t>Measurement procedure</w:t>
      </w:r>
      <w:r w:rsidR="009C78E5">
        <w:rPr>
          <w:rFonts w:eastAsiaTheme="minorEastAsia" w:cs="Arial"/>
          <w:bCs/>
          <w:noProof w:val="0"/>
          <w:sz w:val="22"/>
          <w:szCs w:val="22"/>
          <w:lang w:eastAsia="zh-CN"/>
        </w:rPr>
        <w:t xml:space="preserve"> for </w:t>
      </w:r>
      <w:proofErr w:type="spellStart"/>
      <w:r w:rsidR="009C78E5">
        <w:rPr>
          <w:rFonts w:eastAsiaTheme="minorEastAsia" w:cs="Arial"/>
          <w:bCs/>
          <w:noProof w:val="0"/>
          <w:sz w:val="22"/>
          <w:szCs w:val="22"/>
          <w:lang w:eastAsia="zh-CN"/>
        </w:rPr>
        <w:t>RedCap</w:t>
      </w:r>
      <w:proofErr w:type="spellEnd"/>
      <w:r w:rsidR="00ED1344">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 xml:space="preserve"> </w:t>
      </w:r>
    </w:p>
    <w:p w14:paraId="16A311B4"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08EADA78"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34CBEA49" w14:textId="02FBC9B0" w:rsidR="004713AD" w:rsidRPr="00D34B64" w:rsidRDefault="002C6490" w:rsidP="00B20E27">
      <w:pPr>
        <w:jc w:val="both"/>
      </w:pPr>
      <w:r w:rsidRPr="00920FBB">
        <w:t xml:space="preserve">In this </w:t>
      </w:r>
      <w:r w:rsidR="00B67301" w:rsidRPr="00920FBB">
        <w:t xml:space="preserve">contribution </w:t>
      </w:r>
      <w:r w:rsidR="00D32C5A" w:rsidRPr="00920FBB">
        <w:t xml:space="preserve">paper, </w:t>
      </w:r>
      <w:r w:rsidR="0066352A" w:rsidRPr="00920FBB">
        <w:t xml:space="preserve">we discuss the remaining open issue on measurement procedure captured in the way forward (WF) </w:t>
      </w:r>
      <w:r w:rsidR="0066352A" w:rsidRPr="00920FBB">
        <w:fldChar w:fldCharType="begin"/>
      </w:r>
      <w:r w:rsidR="0066352A" w:rsidRPr="00920FBB">
        <w:instrText xml:space="preserve"> REF _Ref95735166 \r \h </w:instrText>
      </w:r>
      <w:r w:rsidR="003A7DC4" w:rsidRPr="00920FBB">
        <w:instrText xml:space="preserve"> \* MERGEFORMAT </w:instrText>
      </w:r>
      <w:r w:rsidR="0066352A" w:rsidRPr="00920FBB">
        <w:fldChar w:fldCharType="separate"/>
      </w:r>
      <w:r w:rsidR="00A630E8">
        <w:t>[1]</w:t>
      </w:r>
      <w:r w:rsidR="0066352A" w:rsidRPr="00920FBB">
        <w:fldChar w:fldCharType="end"/>
      </w:r>
      <w:r w:rsidR="004713AD" w:rsidRPr="00920FBB">
        <w:t>.</w:t>
      </w:r>
    </w:p>
    <w:p w14:paraId="7DCE46C1" w14:textId="436A3F7F" w:rsidR="003727D8" w:rsidRDefault="003727D8" w:rsidP="005809D5">
      <w:pPr>
        <w:pStyle w:val="Heading1"/>
        <w:numPr>
          <w:ilvl w:val="0"/>
          <w:numId w:val="1"/>
        </w:numPr>
        <w:jc w:val="both"/>
        <w:rPr>
          <w:rFonts w:ascii="Arial" w:hAnsi="Arial" w:cs="Arial"/>
        </w:rPr>
      </w:pPr>
      <w:r>
        <w:rPr>
          <w:rFonts w:ascii="Arial" w:hAnsi="Arial" w:cs="Arial"/>
        </w:rPr>
        <w:t>Discussion on remaining open issues</w:t>
      </w:r>
    </w:p>
    <w:p w14:paraId="6FF3BF68" w14:textId="0938B14F" w:rsidR="0047749B" w:rsidRDefault="0047749B" w:rsidP="0047749B">
      <w:r>
        <w:t xml:space="preserve">The open issue from the WF </w:t>
      </w:r>
      <w:r w:rsidR="00F434BD">
        <w:t>is</w:t>
      </w:r>
      <w:r>
        <w:t xml:space="preserve"> given below: </w:t>
      </w:r>
    </w:p>
    <w:tbl>
      <w:tblPr>
        <w:tblStyle w:val="TableGrid"/>
        <w:tblW w:w="0" w:type="auto"/>
        <w:tblLook w:val="04A0" w:firstRow="1" w:lastRow="0" w:firstColumn="1" w:lastColumn="0" w:noHBand="0" w:noVBand="1"/>
      </w:tblPr>
      <w:tblGrid>
        <w:gridCol w:w="9629"/>
      </w:tblGrid>
      <w:tr w:rsidR="0047749B" w14:paraId="5E79D4FD" w14:textId="77777777" w:rsidTr="0047749B">
        <w:tc>
          <w:tcPr>
            <w:tcW w:w="9629" w:type="dxa"/>
          </w:tcPr>
          <w:p w14:paraId="28D4FA9F" w14:textId="77777777" w:rsidR="000808BC" w:rsidRDefault="000808BC" w:rsidP="000808BC">
            <w:pPr>
              <w:rPr>
                <w:b/>
                <w:color w:val="000000" w:themeColor="text1"/>
                <w:u w:val="single"/>
                <w:lang w:val="en-US" w:eastAsia="ko-KR"/>
              </w:rPr>
            </w:pPr>
            <w:r>
              <w:rPr>
                <w:b/>
                <w:color w:val="000000" w:themeColor="text1"/>
                <w:u w:val="single"/>
                <w:lang w:val="en-US" w:eastAsia="ko-KR"/>
              </w:rPr>
              <w:t>Whether to support for per-FR/per-UE gap</w:t>
            </w:r>
          </w:p>
          <w:p w14:paraId="0D9F73D7" w14:textId="77777777" w:rsidR="000808BC" w:rsidRPr="00976146" w:rsidRDefault="000808BC" w:rsidP="000808BC">
            <w:pPr>
              <w:rPr>
                <w:i/>
                <w:color w:val="000000" w:themeColor="text1"/>
                <w:lang w:val="en-US"/>
              </w:rPr>
            </w:pPr>
            <w:r w:rsidRPr="00976146">
              <w:rPr>
                <w:rFonts w:hint="eastAsia"/>
                <w:i/>
                <w:color w:val="000000" w:themeColor="text1"/>
                <w:lang w:val="en-US"/>
              </w:rPr>
              <w:t>Candidate options:</w:t>
            </w:r>
          </w:p>
          <w:p w14:paraId="392BBCEC" w14:textId="77777777" w:rsidR="000808BC" w:rsidRDefault="000808BC" w:rsidP="000808BC">
            <w:pPr>
              <w:pStyle w:val="ListParagraph"/>
              <w:numPr>
                <w:ilvl w:val="1"/>
                <w:numId w:val="30"/>
              </w:numPr>
              <w:spacing w:after="120"/>
              <w:ind w:left="1440"/>
              <w:contextualSpacing w:val="0"/>
              <w:rPr>
                <w:rFonts w:eastAsia="SimSun"/>
                <w:bCs/>
                <w:lang w:val="en-US"/>
              </w:rPr>
            </w:pPr>
            <w:r>
              <w:rPr>
                <w:rFonts w:eastAsia="SimSun"/>
                <w:b/>
                <w:bCs/>
                <w:lang w:val="en-US"/>
              </w:rPr>
              <w:t>Option 1 (OPPO, Ericsson, CMCC, Nokia):</w:t>
            </w:r>
            <w:r>
              <w:rPr>
                <w:rFonts w:eastAsia="SimSun"/>
                <w:lang w:val="en-US"/>
              </w:rPr>
              <w:t xml:space="preserve"> </w:t>
            </w:r>
            <w:r>
              <w:t xml:space="preserve">If a </w:t>
            </w:r>
            <w:proofErr w:type="spellStart"/>
            <w:r>
              <w:t>RedCap</w:t>
            </w:r>
            <w:proofErr w:type="spellEnd"/>
            <w:r>
              <w:t xml:space="preserve"> UE support both FR1 and FR2, whether </w:t>
            </w:r>
            <w:proofErr w:type="spellStart"/>
            <w:r>
              <w:t>RedCap</w:t>
            </w:r>
            <w:proofErr w:type="spellEnd"/>
            <w:r>
              <w:t xml:space="preserve"> UE can support per-FR </w:t>
            </w:r>
            <w:proofErr w:type="gramStart"/>
            <w:r>
              <w:t>gap(</w:t>
            </w:r>
            <w:proofErr w:type="gramEnd"/>
            <w:r>
              <w:t xml:space="preserve">e.g., </w:t>
            </w:r>
            <w:proofErr w:type="spellStart"/>
            <w:r>
              <w:t>independentGapConfigdf</w:t>
            </w:r>
            <w:proofErr w:type="spellEnd"/>
            <w:r>
              <w:t>) depends on UE capability.</w:t>
            </w:r>
          </w:p>
          <w:p w14:paraId="5004AD51" w14:textId="7D69224B" w:rsidR="0047749B" w:rsidRPr="000808BC" w:rsidRDefault="000808BC" w:rsidP="000808BC">
            <w:pPr>
              <w:pStyle w:val="ListParagraph"/>
              <w:numPr>
                <w:ilvl w:val="1"/>
                <w:numId w:val="30"/>
              </w:numPr>
              <w:spacing w:after="120"/>
              <w:ind w:left="1440"/>
              <w:contextualSpacing w:val="0"/>
              <w:rPr>
                <w:rFonts w:eastAsia="SimSun"/>
                <w:bCs/>
                <w:lang w:val="en-US"/>
              </w:rPr>
            </w:pPr>
            <w:r>
              <w:rPr>
                <w:rFonts w:eastAsia="SimSun"/>
                <w:b/>
                <w:lang w:val="en-US"/>
              </w:rPr>
              <w:t>Option 2 (MTK, vivo, Apple):</w:t>
            </w:r>
            <w:r>
              <w:rPr>
                <w:rFonts w:eastAsia="SimSun"/>
                <w:bCs/>
                <w:lang w:val="en-US"/>
              </w:rPr>
              <w:t xml:space="preserve"> If MG is needed, both per-UE gap and per-FR gap can be supported, but UE behavior is same as per-UE gap. </w:t>
            </w:r>
          </w:p>
        </w:tc>
      </w:tr>
    </w:tbl>
    <w:p w14:paraId="49F990F0" w14:textId="51570193" w:rsidR="00AE481C" w:rsidRDefault="00AE481C" w:rsidP="00AE481C">
      <w:pPr>
        <w:jc w:val="both"/>
        <w:rPr>
          <w:rFonts w:cstheme="minorHAnsi"/>
          <w:b/>
          <w:bCs/>
          <w:iCs/>
          <w:lang w:eastAsia="ko-KR"/>
        </w:rPr>
      </w:pPr>
    </w:p>
    <w:p w14:paraId="11E45074" w14:textId="588C820C" w:rsidR="006B6027" w:rsidRDefault="000808BC" w:rsidP="00AE481C">
      <w:pPr>
        <w:jc w:val="both"/>
        <w:rPr>
          <w:rFonts w:cstheme="minorHAnsi"/>
          <w:b/>
          <w:bCs/>
          <w:iCs/>
          <w:lang w:eastAsia="ko-KR"/>
        </w:rPr>
      </w:pPr>
      <w:r>
        <w:rPr>
          <w:b/>
          <w:color w:val="000000" w:themeColor="text1"/>
          <w:u w:val="single"/>
          <w:lang w:val="en-US" w:eastAsia="ko-KR"/>
        </w:rPr>
        <w:t>Whether to support for per-FR/per-UE gap</w:t>
      </w:r>
    </w:p>
    <w:p w14:paraId="3504AD2B" w14:textId="6379750E" w:rsidR="00AE481C" w:rsidRDefault="006B6027" w:rsidP="00AE481C">
      <w:pPr>
        <w:jc w:val="both"/>
        <w:rPr>
          <w:rFonts w:cstheme="minorHAnsi"/>
          <w:iCs/>
          <w:lang w:eastAsia="ko-KR"/>
        </w:rPr>
      </w:pPr>
      <w:r w:rsidRPr="006B6027">
        <w:rPr>
          <w:rFonts w:cstheme="minorHAnsi"/>
          <w:iCs/>
          <w:lang w:eastAsia="ko-KR"/>
        </w:rPr>
        <w:t xml:space="preserve">Whether the UE can support the per-FR gap or not depends on the UE and in general </w:t>
      </w:r>
      <w:r>
        <w:rPr>
          <w:rFonts w:cstheme="minorHAnsi"/>
          <w:iCs/>
          <w:lang w:eastAsia="ko-KR"/>
        </w:rPr>
        <w:t>there is no issue that the</w:t>
      </w:r>
      <w:r w:rsidRPr="006B6027">
        <w:rPr>
          <w:rFonts w:cstheme="minorHAnsi"/>
          <w:iCs/>
          <w:lang w:eastAsia="ko-KR"/>
        </w:rPr>
        <w:t xml:space="preserve"> UE supports per-FR gap.</w:t>
      </w:r>
      <w:r>
        <w:rPr>
          <w:rFonts w:cstheme="minorHAnsi"/>
          <w:iCs/>
          <w:lang w:eastAsia="ko-KR"/>
        </w:rPr>
        <w:t xml:space="preserve"> </w:t>
      </w:r>
      <w:r w:rsidRPr="006B6027">
        <w:rPr>
          <w:rFonts w:cstheme="minorHAnsi"/>
          <w:iCs/>
          <w:lang w:eastAsia="ko-KR"/>
        </w:rPr>
        <w:t xml:space="preserve">However, </w:t>
      </w:r>
      <w:r>
        <w:rPr>
          <w:rFonts w:cstheme="minorHAnsi"/>
          <w:iCs/>
          <w:lang w:eastAsia="ko-KR"/>
        </w:rPr>
        <w:t xml:space="preserve">given that </w:t>
      </w:r>
      <w:r w:rsidRPr="006B6027">
        <w:rPr>
          <w:rFonts w:cstheme="minorHAnsi"/>
          <w:iCs/>
          <w:lang w:eastAsia="ko-KR"/>
        </w:rPr>
        <w:t>the UE will have one serving cell (</w:t>
      </w:r>
      <w:proofErr w:type="gramStart"/>
      <w:r w:rsidRPr="006B6027">
        <w:rPr>
          <w:rFonts w:cstheme="minorHAnsi"/>
          <w:iCs/>
          <w:lang w:eastAsia="ko-KR"/>
        </w:rPr>
        <w:t>i.e.</w:t>
      </w:r>
      <w:proofErr w:type="gramEnd"/>
      <w:r w:rsidRPr="006B6027">
        <w:rPr>
          <w:rFonts w:cstheme="minorHAnsi"/>
          <w:iCs/>
          <w:lang w:eastAsia="ko-KR"/>
        </w:rPr>
        <w:t xml:space="preserve"> One CC)</w:t>
      </w:r>
      <w:r>
        <w:rPr>
          <w:rFonts w:cstheme="minorHAnsi"/>
          <w:iCs/>
          <w:lang w:eastAsia="ko-KR"/>
        </w:rPr>
        <w:t>, h</w:t>
      </w:r>
      <w:r w:rsidRPr="006B6027">
        <w:rPr>
          <w:rFonts w:cstheme="minorHAnsi"/>
          <w:iCs/>
          <w:lang w:eastAsia="ko-KR"/>
        </w:rPr>
        <w:t xml:space="preserve">ence, </w:t>
      </w:r>
      <w:r>
        <w:rPr>
          <w:rFonts w:cstheme="minorHAnsi"/>
          <w:iCs/>
          <w:lang w:eastAsia="ko-KR"/>
        </w:rPr>
        <w:t xml:space="preserve">having per-FR gap is meaningless. This is because whether the UE is configured with per-FR gap or per-UE gap, the UE </w:t>
      </w:r>
      <w:r w:rsidR="00A1252C">
        <w:rPr>
          <w:rFonts w:cstheme="minorHAnsi"/>
          <w:iCs/>
          <w:lang w:eastAsia="ko-KR"/>
        </w:rPr>
        <w:t>behaviour</w:t>
      </w:r>
      <w:r w:rsidR="00265168">
        <w:rPr>
          <w:rFonts w:cstheme="minorHAnsi"/>
          <w:iCs/>
          <w:lang w:eastAsia="ko-KR"/>
        </w:rPr>
        <w:t xml:space="preserve"> is always the same as</w:t>
      </w:r>
      <w:r>
        <w:rPr>
          <w:rFonts w:cstheme="minorHAnsi"/>
          <w:iCs/>
          <w:lang w:eastAsia="ko-KR"/>
        </w:rPr>
        <w:t xml:space="preserve"> per-UE gap. In addition, this issue shall impact the spec writing only and no technical impact to the UE performance.</w:t>
      </w:r>
    </w:p>
    <w:p w14:paraId="01D21403" w14:textId="73721B6B" w:rsidR="006B6027" w:rsidRPr="00AE481C" w:rsidRDefault="00265168" w:rsidP="006B6027">
      <w:pPr>
        <w:pStyle w:val="ListParagraph"/>
        <w:numPr>
          <w:ilvl w:val="0"/>
          <w:numId w:val="34"/>
        </w:numPr>
        <w:jc w:val="both"/>
        <w:rPr>
          <w:rFonts w:cstheme="minorHAnsi"/>
          <w:b/>
          <w:bCs/>
          <w:iCs/>
          <w:lang w:eastAsia="ko-KR"/>
        </w:rPr>
      </w:pPr>
      <w:bookmarkStart w:id="1" w:name="_Ref101447105"/>
      <w:r>
        <w:rPr>
          <w:b/>
          <w:color w:val="000000" w:themeColor="text1"/>
          <w:lang w:eastAsia="ko-KR"/>
        </w:rPr>
        <w:t xml:space="preserve"> </w:t>
      </w:r>
      <w:r w:rsidR="006B6027" w:rsidRPr="006B6027">
        <w:rPr>
          <w:b/>
          <w:color w:val="000000" w:themeColor="text1"/>
          <w:lang w:eastAsia="ko-KR"/>
        </w:rPr>
        <w:t xml:space="preserve">If MG is needed, </w:t>
      </w:r>
      <w:r>
        <w:rPr>
          <w:b/>
          <w:color w:val="000000" w:themeColor="text1"/>
          <w:lang w:eastAsia="ko-KR"/>
        </w:rPr>
        <w:t xml:space="preserve">both per-UE and per-FR MG can be supported by UE, but they both share the same </w:t>
      </w:r>
      <w:r w:rsidR="006B6027" w:rsidRPr="006B6027">
        <w:rPr>
          <w:b/>
          <w:color w:val="000000" w:themeColor="text1"/>
          <w:lang w:eastAsia="ko-KR"/>
        </w:rPr>
        <w:t>per-UE MG based cell identification/measurement requirement</w:t>
      </w:r>
      <w:r w:rsidR="000808BC">
        <w:rPr>
          <w:b/>
          <w:color w:val="000000" w:themeColor="text1"/>
          <w:lang w:eastAsia="ko-KR"/>
        </w:rPr>
        <w:t>s</w:t>
      </w:r>
      <w:r w:rsidR="006B6027" w:rsidRPr="00AE481C">
        <w:rPr>
          <w:b/>
          <w:bCs/>
          <w:color w:val="000000" w:themeColor="text1"/>
          <w:lang w:eastAsia="ko-KR"/>
        </w:rPr>
        <w:t>.</w:t>
      </w:r>
      <w:bookmarkEnd w:id="1"/>
    </w:p>
    <w:p w14:paraId="5A727E08" w14:textId="77777777" w:rsidR="002705F0" w:rsidRDefault="002705F0" w:rsidP="00E33B47">
      <w:pPr>
        <w:jc w:val="both"/>
      </w:pPr>
    </w:p>
    <w:p w14:paraId="35017A23" w14:textId="5562CF84"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4B76862" w14:textId="5123D3B2" w:rsidR="00D34B64" w:rsidRDefault="00D34B64" w:rsidP="00BB3B06">
      <w:pPr>
        <w:jc w:val="both"/>
      </w:pPr>
      <w:r>
        <w:t xml:space="preserve">In this </w:t>
      </w:r>
      <w:r w:rsidR="003E4192">
        <w:t xml:space="preserve">contribution, </w:t>
      </w:r>
      <w:r w:rsidR="00FD5ED9">
        <w:t xml:space="preserve">we discussed whether to support for per-FR/per-UE measurement gap and </w:t>
      </w:r>
      <w:r w:rsidR="00135EEB">
        <w:t xml:space="preserve">we have the following </w:t>
      </w:r>
      <w:r w:rsidR="003E4192">
        <w:t>proposal</w:t>
      </w:r>
      <w:r w:rsidR="00135EEB">
        <w:t xml:space="preserve">: </w:t>
      </w:r>
    </w:p>
    <w:p w14:paraId="6F38A0A8" w14:textId="1111F560" w:rsidR="00195AAD" w:rsidRPr="00195AAD" w:rsidRDefault="00195AAD" w:rsidP="00BB3B06">
      <w:pPr>
        <w:jc w:val="both"/>
        <w:rPr>
          <w:b/>
          <w:bCs/>
        </w:rPr>
      </w:pPr>
      <w:r w:rsidRPr="00195AAD">
        <w:rPr>
          <w:b/>
          <w:bCs/>
        </w:rPr>
        <w:fldChar w:fldCharType="begin"/>
      </w:r>
      <w:r w:rsidRPr="00195AAD">
        <w:rPr>
          <w:b/>
          <w:bCs/>
        </w:rPr>
        <w:instrText xml:space="preserve"> REF _Ref101447105 \r \h </w:instrText>
      </w:r>
      <w:r>
        <w:rPr>
          <w:b/>
          <w:bCs/>
        </w:rPr>
        <w:instrText xml:space="preserve"> \* MERGEFORMAT </w:instrText>
      </w:r>
      <w:r w:rsidRPr="00195AAD">
        <w:rPr>
          <w:b/>
          <w:bCs/>
        </w:rPr>
      </w:r>
      <w:r w:rsidRPr="00195AAD">
        <w:rPr>
          <w:b/>
          <w:bCs/>
        </w:rPr>
        <w:fldChar w:fldCharType="separate"/>
      </w:r>
      <w:r w:rsidR="00A630E8">
        <w:rPr>
          <w:b/>
          <w:bCs/>
        </w:rPr>
        <w:t>Proposal 1:</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_Ref101447105 \h </w:instrText>
      </w:r>
      <w:r>
        <w:rPr>
          <w:b/>
          <w:bCs/>
        </w:rPr>
        <w:instrText xml:space="preserve"> \* MERGEFORMAT </w:instrText>
      </w:r>
      <w:r w:rsidRPr="00195AAD">
        <w:rPr>
          <w:b/>
          <w:bCs/>
        </w:rPr>
      </w:r>
      <w:r w:rsidRPr="00195AAD">
        <w:rPr>
          <w:b/>
          <w:bCs/>
        </w:rPr>
        <w:fldChar w:fldCharType="separate"/>
      </w:r>
      <w:r w:rsidR="00A630E8" w:rsidRPr="00A630E8">
        <w:rPr>
          <w:b/>
          <w:bCs/>
          <w:color w:val="000000" w:themeColor="text1"/>
          <w:lang w:eastAsia="ko-KR"/>
        </w:rPr>
        <w:t xml:space="preserve"> If MG is needed, both per-UE and per-FR MG can be supported by UE, but they </w:t>
      </w:r>
      <w:r w:rsidR="00A630E8">
        <w:rPr>
          <w:b/>
          <w:color w:val="000000" w:themeColor="text1"/>
          <w:lang w:eastAsia="ko-KR"/>
        </w:rPr>
        <w:t xml:space="preserve">both share the same </w:t>
      </w:r>
      <w:r w:rsidR="00A630E8" w:rsidRPr="006B6027">
        <w:rPr>
          <w:b/>
          <w:color w:val="000000" w:themeColor="text1"/>
          <w:lang w:eastAsia="ko-KR"/>
        </w:rPr>
        <w:t>per-UE MG based cell identification/measurement requirement</w:t>
      </w:r>
      <w:r w:rsidR="00A630E8">
        <w:rPr>
          <w:b/>
          <w:color w:val="000000" w:themeColor="text1"/>
          <w:lang w:eastAsia="ko-KR"/>
        </w:rPr>
        <w:t>s</w:t>
      </w:r>
      <w:r w:rsidR="00A630E8" w:rsidRPr="00AE481C">
        <w:rPr>
          <w:b/>
          <w:bCs/>
          <w:color w:val="000000" w:themeColor="text1"/>
          <w:lang w:eastAsia="ko-KR"/>
        </w:rPr>
        <w:t>.</w:t>
      </w:r>
      <w:r w:rsidRPr="00195AAD">
        <w:rPr>
          <w:b/>
          <w:bCs/>
        </w:rPr>
        <w:fldChar w:fldCharType="end"/>
      </w:r>
    </w:p>
    <w:p w14:paraId="0B194950" w14:textId="77777777" w:rsidR="00195AAD" w:rsidRDefault="00195AAD" w:rsidP="00BB3B06">
      <w:pPr>
        <w:jc w:val="both"/>
      </w:pPr>
    </w:p>
    <w:p w14:paraId="42F1D26E" w14:textId="77777777" w:rsidR="00D63646" w:rsidRPr="006B21ED" w:rsidRDefault="000F20AC" w:rsidP="00F07B03">
      <w:pPr>
        <w:pStyle w:val="Heading1"/>
        <w:numPr>
          <w:ilvl w:val="0"/>
          <w:numId w:val="45"/>
        </w:numPr>
        <w:ind w:left="0" w:firstLine="0"/>
        <w:jc w:val="both"/>
        <w:rPr>
          <w:rFonts w:ascii="Arial" w:hAnsi="Arial" w:cs="Arial"/>
        </w:rPr>
      </w:pPr>
      <w:r w:rsidRPr="006B21ED">
        <w:rPr>
          <w:rFonts w:ascii="Arial" w:hAnsi="Arial" w:cs="Arial"/>
        </w:rPr>
        <w:t>References</w:t>
      </w:r>
    </w:p>
    <w:p w14:paraId="2C08D4E6" w14:textId="167A6CBE" w:rsidR="009C4124" w:rsidRPr="004D4B15" w:rsidRDefault="007B3FAA" w:rsidP="004D4B15">
      <w:pPr>
        <w:pStyle w:val="ListParagraph"/>
        <w:numPr>
          <w:ilvl w:val="0"/>
          <w:numId w:val="15"/>
        </w:numPr>
        <w:jc w:val="both"/>
        <w:rPr>
          <w:rFonts w:cstheme="minorHAnsi"/>
          <w:color w:val="000000"/>
        </w:rPr>
      </w:pPr>
      <w:bookmarkStart w:id="2" w:name="_Ref95735166"/>
      <w:bookmarkStart w:id="3" w:name="_Ref85725581"/>
      <w:bookmarkStart w:id="4" w:name="_Ref71639227"/>
      <w:bookmarkStart w:id="5" w:name="_Ref85650672"/>
      <w:r>
        <w:rPr>
          <w:rFonts w:cstheme="minorHAnsi"/>
          <w:color w:val="000000"/>
        </w:rPr>
        <w:t>R4-22</w:t>
      </w:r>
      <w:r w:rsidR="004D4B15">
        <w:rPr>
          <w:rFonts w:cstheme="minorHAnsi"/>
          <w:color w:val="000000"/>
        </w:rPr>
        <w:t>10592</w:t>
      </w:r>
      <w:r>
        <w:rPr>
          <w:rFonts w:cstheme="minorHAnsi"/>
          <w:color w:val="000000"/>
        </w:rPr>
        <w:t>, “</w:t>
      </w:r>
      <w:r w:rsidRPr="002955A3">
        <w:rPr>
          <w:rFonts w:cstheme="minorHAnsi"/>
        </w:rPr>
        <w:t xml:space="preserve">WF on </w:t>
      </w:r>
      <w:proofErr w:type="spellStart"/>
      <w:r w:rsidRPr="002955A3">
        <w:rPr>
          <w:rFonts w:cstheme="minorHAnsi"/>
        </w:rPr>
        <w:t>RedCap</w:t>
      </w:r>
      <w:proofErr w:type="spellEnd"/>
      <w:r w:rsidRPr="002955A3">
        <w:rPr>
          <w:rFonts w:cstheme="minorHAnsi"/>
        </w:rPr>
        <w:t xml:space="preserve"> RRM requirements</w:t>
      </w:r>
      <w:r>
        <w:rPr>
          <w:rFonts w:cstheme="minorHAnsi"/>
          <w:color w:val="000000"/>
        </w:rPr>
        <w:t>”, Ericsson</w:t>
      </w:r>
      <w:r w:rsidR="004D4B15">
        <w:rPr>
          <w:rFonts w:cstheme="minorHAnsi"/>
          <w:color w:val="000000"/>
        </w:rPr>
        <w:t>, May 2022</w:t>
      </w:r>
      <w:r>
        <w:rPr>
          <w:rFonts w:cstheme="minorHAnsi"/>
          <w:color w:val="000000"/>
        </w:rPr>
        <w:t>.</w:t>
      </w:r>
      <w:bookmarkEnd w:id="2"/>
      <w:bookmarkEnd w:id="3"/>
      <w:bookmarkEnd w:id="4"/>
      <w:bookmarkEnd w:id="5"/>
    </w:p>
    <w:sectPr w:rsidR="009C4124" w:rsidRPr="004D4B1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3BE46" w14:textId="77777777" w:rsidR="00124D10" w:rsidRDefault="00124D10">
      <w:r>
        <w:separator/>
      </w:r>
    </w:p>
  </w:endnote>
  <w:endnote w:type="continuationSeparator" w:id="0">
    <w:p w14:paraId="22B76F57" w14:textId="77777777" w:rsidR="00124D10" w:rsidRDefault="0012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5CA8F" w14:textId="77777777" w:rsidR="00124D10" w:rsidRDefault="00124D10">
      <w:r>
        <w:separator/>
      </w:r>
    </w:p>
  </w:footnote>
  <w:footnote w:type="continuationSeparator" w:id="0">
    <w:p w14:paraId="039D0F33" w14:textId="77777777" w:rsidR="00124D10" w:rsidRDefault="00124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590893"/>
    <w:multiLevelType w:val="multilevel"/>
    <w:tmpl w:val="62EEC8B4"/>
    <w:lvl w:ilvl="0">
      <w:start w:val="11"/>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1"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6106B7"/>
    <w:multiLevelType w:val="hybridMultilevel"/>
    <w:tmpl w:val="9F4ED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144EC4"/>
    <w:multiLevelType w:val="hybridMultilevel"/>
    <w:tmpl w:val="D0D64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9" w15:restartNumberingAfterBreak="0">
    <w:nsid w:val="2CBD786A"/>
    <w:multiLevelType w:val="multilevel"/>
    <w:tmpl w:val="24FAF15E"/>
    <w:lvl w:ilvl="0">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2"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2940A5D"/>
    <w:multiLevelType w:val="hybridMultilevel"/>
    <w:tmpl w:val="BC2EB0AE"/>
    <w:lvl w:ilvl="0" w:tplc="F476DDA6">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1F5198F"/>
    <w:multiLevelType w:val="multilevel"/>
    <w:tmpl w:val="79DEBBA8"/>
    <w:lvl w:ilvl="0">
      <w:start w:val="11"/>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7"/>
  </w:num>
  <w:num w:numId="2">
    <w:abstractNumId w:val="23"/>
  </w:num>
  <w:num w:numId="3">
    <w:abstractNumId w:val="4"/>
  </w:num>
  <w:num w:numId="4">
    <w:abstractNumId w:val="40"/>
  </w:num>
  <w:num w:numId="5">
    <w:abstractNumId w:val="8"/>
  </w:num>
  <w:num w:numId="6">
    <w:abstractNumId w:val="15"/>
  </w:num>
  <w:num w:numId="7">
    <w:abstractNumId w:val="9"/>
  </w:num>
  <w:num w:numId="8">
    <w:abstractNumId w:val="10"/>
  </w:num>
  <w:num w:numId="9">
    <w:abstractNumId w:val="17"/>
  </w:num>
  <w:num w:numId="10">
    <w:abstractNumId w:val="33"/>
  </w:num>
  <w:num w:numId="11">
    <w:abstractNumId w:val="36"/>
  </w:num>
  <w:num w:numId="12">
    <w:abstractNumId w:val="25"/>
  </w:num>
  <w:num w:numId="13">
    <w:abstractNumId w:val="27"/>
  </w:num>
  <w:num w:numId="14">
    <w:abstractNumId w:val="35"/>
  </w:num>
  <w:num w:numId="15">
    <w:abstractNumId w:val="32"/>
  </w:num>
  <w:num w:numId="16">
    <w:abstractNumId w:val="21"/>
  </w:num>
  <w:num w:numId="17">
    <w:abstractNumId w:val="29"/>
  </w:num>
  <w:num w:numId="18">
    <w:abstractNumId w:val="2"/>
  </w:num>
  <w:num w:numId="19">
    <w:abstractNumId w:val="1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0"/>
  </w:num>
  <w:num w:numId="24">
    <w:abstractNumId w:val="26"/>
  </w:num>
  <w:num w:numId="25">
    <w:abstractNumId w:val="3"/>
  </w:num>
  <w:num w:numId="26">
    <w:abstractNumId w:val="41"/>
  </w:num>
  <w:num w:numId="27">
    <w:abstractNumId w:val="11"/>
  </w:num>
  <w:num w:numId="28">
    <w:abstractNumId w:val="18"/>
  </w:num>
  <w:num w:numId="29">
    <w:abstractNumId w:val="34"/>
  </w:num>
  <w:num w:numId="30">
    <w:abstractNumId w:val="28"/>
  </w:num>
  <w:num w:numId="31">
    <w:abstractNumId w:val="22"/>
  </w:num>
  <w:num w:numId="32">
    <w:abstractNumId w:val="14"/>
  </w:num>
  <w:num w:numId="33">
    <w:abstractNumId w:val="38"/>
  </w:num>
  <w:num w:numId="34">
    <w:abstractNumId w:val="30"/>
  </w:num>
  <w:num w:numId="35">
    <w:abstractNumId w:val="5"/>
  </w:num>
  <w:num w:numId="36">
    <w:abstractNumId w:val="24"/>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9"/>
  </w:num>
  <w:num w:numId="41">
    <w:abstractNumId w:val="12"/>
  </w:num>
  <w:num w:numId="42">
    <w:abstractNumId w:val="1"/>
  </w:num>
  <w:num w:numId="43">
    <w:abstractNumId w:val="20"/>
  </w:num>
  <w:num w:numId="44">
    <w:abstractNumId w:val="16"/>
  </w:num>
  <w:num w:numId="4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07A5B"/>
    <w:rsid w:val="00010086"/>
    <w:rsid w:val="000102CF"/>
    <w:rsid w:val="0001052A"/>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288"/>
    <w:rsid w:val="0004269E"/>
    <w:rsid w:val="000426C7"/>
    <w:rsid w:val="00042CEE"/>
    <w:rsid w:val="00042DFE"/>
    <w:rsid w:val="000430A6"/>
    <w:rsid w:val="000433DD"/>
    <w:rsid w:val="000437D2"/>
    <w:rsid w:val="00043815"/>
    <w:rsid w:val="0004440E"/>
    <w:rsid w:val="000447EE"/>
    <w:rsid w:val="00044D3E"/>
    <w:rsid w:val="00044F6C"/>
    <w:rsid w:val="0004503D"/>
    <w:rsid w:val="00045170"/>
    <w:rsid w:val="000452C5"/>
    <w:rsid w:val="000452F9"/>
    <w:rsid w:val="0004541F"/>
    <w:rsid w:val="000456DE"/>
    <w:rsid w:val="00045950"/>
    <w:rsid w:val="00045AC3"/>
    <w:rsid w:val="00045D9D"/>
    <w:rsid w:val="00046048"/>
    <w:rsid w:val="00046398"/>
    <w:rsid w:val="000463CC"/>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754"/>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8BC"/>
    <w:rsid w:val="00080A12"/>
    <w:rsid w:val="00081024"/>
    <w:rsid w:val="000810C5"/>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7F3"/>
    <w:rsid w:val="000A0979"/>
    <w:rsid w:val="000A0E52"/>
    <w:rsid w:val="000A1BB4"/>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A6A"/>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C50"/>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07E42"/>
    <w:rsid w:val="0011011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1FB4"/>
    <w:rsid w:val="0012222B"/>
    <w:rsid w:val="001224A0"/>
    <w:rsid w:val="001228AF"/>
    <w:rsid w:val="00122B1D"/>
    <w:rsid w:val="00123511"/>
    <w:rsid w:val="00123768"/>
    <w:rsid w:val="001238EB"/>
    <w:rsid w:val="00123E28"/>
    <w:rsid w:val="00123FC5"/>
    <w:rsid w:val="001246B3"/>
    <w:rsid w:val="00124C9E"/>
    <w:rsid w:val="00124D10"/>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2B8"/>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ABE"/>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903"/>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8A6"/>
    <w:rsid w:val="00162FAF"/>
    <w:rsid w:val="00163203"/>
    <w:rsid w:val="00163235"/>
    <w:rsid w:val="001632DD"/>
    <w:rsid w:val="00163497"/>
    <w:rsid w:val="00163717"/>
    <w:rsid w:val="00164048"/>
    <w:rsid w:val="001640AB"/>
    <w:rsid w:val="001643C8"/>
    <w:rsid w:val="00164440"/>
    <w:rsid w:val="0016484C"/>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0CE"/>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AAD"/>
    <w:rsid w:val="00195BE2"/>
    <w:rsid w:val="00195EE7"/>
    <w:rsid w:val="001964F8"/>
    <w:rsid w:val="00196643"/>
    <w:rsid w:val="001967D5"/>
    <w:rsid w:val="001978E1"/>
    <w:rsid w:val="00197B67"/>
    <w:rsid w:val="00197C44"/>
    <w:rsid w:val="001A0201"/>
    <w:rsid w:val="001A0969"/>
    <w:rsid w:val="001A102B"/>
    <w:rsid w:val="001A1035"/>
    <w:rsid w:val="001A13FB"/>
    <w:rsid w:val="001A1461"/>
    <w:rsid w:val="001A14E6"/>
    <w:rsid w:val="001A1B01"/>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6F80"/>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5FD"/>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63D"/>
    <w:rsid w:val="001D1716"/>
    <w:rsid w:val="001D1A64"/>
    <w:rsid w:val="001D202B"/>
    <w:rsid w:val="001D23C2"/>
    <w:rsid w:val="001D241B"/>
    <w:rsid w:val="001D2ABA"/>
    <w:rsid w:val="001D2C8A"/>
    <w:rsid w:val="001D3743"/>
    <w:rsid w:val="001D3830"/>
    <w:rsid w:val="001D3864"/>
    <w:rsid w:val="001D4102"/>
    <w:rsid w:val="001D4501"/>
    <w:rsid w:val="001D4796"/>
    <w:rsid w:val="001D4863"/>
    <w:rsid w:val="001D4B44"/>
    <w:rsid w:val="001D4BCF"/>
    <w:rsid w:val="001D4F9E"/>
    <w:rsid w:val="001D54E6"/>
    <w:rsid w:val="001D5507"/>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23A"/>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5F3"/>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16D"/>
    <w:rsid w:val="0020742C"/>
    <w:rsid w:val="0020756A"/>
    <w:rsid w:val="002077DA"/>
    <w:rsid w:val="00207CC5"/>
    <w:rsid w:val="00207D20"/>
    <w:rsid w:val="00207ED9"/>
    <w:rsid w:val="002104D2"/>
    <w:rsid w:val="00210691"/>
    <w:rsid w:val="00210967"/>
    <w:rsid w:val="002113D4"/>
    <w:rsid w:val="00211717"/>
    <w:rsid w:val="00211A0B"/>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419"/>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68"/>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5F0"/>
    <w:rsid w:val="00270C59"/>
    <w:rsid w:val="00271B44"/>
    <w:rsid w:val="00271BFE"/>
    <w:rsid w:val="0027235C"/>
    <w:rsid w:val="0027265B"/>
    <w:rsid w:val="00272692"/>
    <w:rsid w:val="00272856"/>
    <w:rsid w:val="00272934"/>
    <w:rsid w:val="00272990"/>
    <w:rsid w:val="00272D3D"/>
    <w:rsid w:val="00273440"/>
    <w:rsid w:val="00273761"/>
    <w:rsid w:val="0027392E"/>
    <w:rsid w:val="00273A0E"/>
    <w:rsid w:val="00273CFB"/>
    <w:rsid w:val="002740C4"/>
    <w:rsid w:val="0027444E"/>
    <w:rsid w:val="00274598"/>
    <w:rsid w:val="0027465C"/>
    <w:rsid w:val="002746BD"/>
    <w:rsid w:val="00274874"/>
    <w:rsid w:val="00274AC1"/>
    <w:rsid w:val="00274CAE"/>
    <w:rsid w:val="00275CE5"/>
    <w:rsid w:val="00275FEA"/>
    <w:rsid w:val="00276290"/>
    <w:rsid w:val="0027640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9AE"/>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73"/>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042"/>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035"/>
    <w:rsid w:val="002C5A0A"/>
    <w:rsid w:val="002C5CC9"/>
    <w:rsid w:val="002C61AC"/>
    <w:rsid w:val="002C631D"/>
    <w:rsid w:val="002C6490"/>
    <w:rsid w:val="002C6990"/>
    <w:rsid w:val="002C69E5"/>
    <w:rsid w:val="002C7402"/>
    <w:rsid w:val="002C7829"/>
    <w:rsid w:val="002C7CFD"/>
    <w:rsid w:val="002D010A"/>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51D"/>
    <w:rsid w:val="002E03A9"/>
    <w:rsid w:val="002E054C"/>
    <w:rsid w:val="002E0814"/>
    <w:rsid w:val="002E1108"/>
    <w:rsid w:val="002E11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1C"/>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D4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94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527"/>
    <w:rsid w:val="00331903"/>
    <w:rsid w:val="00331A50"/>
    <w:rsid w:val="00331C6A"/>
    <w:rsid w:val="00332709"/>
    <w:rsid w:val="00333319"/>
    <w:rsid w:val="00333E46"/>
    <w:rsid w:val="003344CA"/>
    <w:rsid w:val="0033464F"/>
    <w:rsid w:val="003347A7"/>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39"/>
    <w:rsid w:val="003411BB"/>
    <w:rsid w:val="003412C8"/>
    <w:rsid w:val="00341410"/>
    <w:rsid w:val="00341577"/>
    <w:rsid w:val="00341AF3"/>
    <w:rsid w:val="00341B77"/>
    <w:rsid w:val="0034222E"/>
    <w:rsid w:val="0034267D"/>
    <w:rsid w:val="003429AC"/>
    <w:rsid w:val="00342E17"/>
    <w:rsid w:val="00342E44"/>
    <w:rsid w:val="003431EA"/>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33"/>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6B2"/>
    <w:rsid w:val="0036294F"/>
    <w:rsid w:val="00362A08"/>
    <w:rsid w:val="00363476"/>
    <w:rsid w:val="00363B94"/>
    <w:rsid w:val="0036408B"/>
    <w:rsid w:val="003642A6"/>
    <w:rsid w:val="003649D3"/>
    <w:rsid w:val="00365B13"/>
    <w:rsid w:val="00365D8F"/>
    <w:rsid w:val="0036634E"/>
    <w:rsid w:val="0036652C"/>
    <w:rsid w:val="0036658D"/>
    <w:rsid w:val="0036717B"/>
    <w:rsid w:val="00367473"/>
    <w:rsid w:val="003676B4"/>
    <w:rsid w:val="00370081"/>
    <w:rsid w:val="00371255"/>
    <w:rsid w:val="003714F8"/>
    <w:rsid w:val="003716F5"/>
    <w:rsid w:val="0037170D"/>
    <w:rsid w:val="0037189D"/>
    <w:rsid w:val="00371C3B"/>
    <w:rsid w:val="00371D84"/>
    <w:rsid w:val="00371FCA"/>
    <w:rsid w:val="003723DB"/>
    <w:rsid w:val="00372595"/>
    <w:rsid w:val="00372613"/>
    <w:rsid w:val="00372779"/>
    <w:rsid w:val="003727D8"/>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868"/>
    <w:rsid w:val="0037724B"/>
    <w:rsid w:val="00377383"/>
    <w:rsid w:val="0037748F"/>
    <w:rsid w:val="0037751C"/>
    <w:rsid w:val="00377845"/>
    <w:rsid w:val="00377EFD"/>
    <w:rsid w:val="0038006B"/>
    <w:rsid w:val="0038049F"/>
    <w:rsid w:val="003805DB"/>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5E28"/>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A7DC4"/>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A64"/>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29F3"/>
    <w:rsid w:val="003E32E1"/>
    <w:rsid w:val="003E3655"/>
    <w:rsid w:val="003E3963"/>
    <w:rsid w:val="003E4083"/>
    <w:rsid w:val="003E4192"/>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B95"/>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D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B54"/>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8FE"/>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6A6"/>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CD8"/>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3927"/>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49B"/>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78"/>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6F6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0FD"/>
    <w:rsid w:val="004C1465"/>
    <w:rsid w:val="004C14D0"/>
    <w:rsid w:val="004C1740"/>
    <w:rsid w:val="004C1BCD"/>
    <w:rsid w:val="004C1FA0"/>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C09"/>
    <w:rsid w:val="004D2EE0"/>
    <w:rsid w:val="004D35BA"/>
    <w:rsid w:val="004D36DE"/>
    <w:rsid w:val="004D3FA6"/>
    <w:rsid w:val="004D4225"/>
    <w:rsid w:val="004D445E"/>
    <w:rsid w:val="004D4614"/>
    <w:rsid w:val="004D4A5E"/>
    <w:rsid w:val="004D4B15"/>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92E"/>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BC"/>
    <w:rsid w:val="005107E3"/>
    <w:rsid w:val="00511079"/>
    <w:rsid w:val="005110C1"/>
    <w:rsid w:val="005112B9"/>
    <w:rsid w:val="0051133A"/>
    <w:rsid w:val="00511A13"/>
    <w:rsid w:val="00511EF7"/>
    <w:rsid w:val="005124A4"/>
    <w:rsid w:val="00513BA7"/>
    <w:rsid w:val="00514034"/>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8FE"/>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0A2"/>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B3E"/>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577"/>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5FBA"/>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A17"/>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32"/>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9D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3CF7"/>
    <w:rsid w:val="0060440B"/>
    <w:rsid w:val="0060454C"/>
    <w:rsid w:val="00604761"/>
    <w:rsid w:val="00604F24"/>
    <w:rsid w:val="006053C9"/>
    <w:rsid w:val="00605481"/>
    <w:rsid w:val="0060567C"/>
    <w:rsid w:val="00605B70"/>
    <w:rsid w:val="00605F1E"/>
    <w:rsid w:val="006065A9"/>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37DDE"/>
    <w:rsid w:val="00640576"/>
    <w:rsid w:val="00640F4F"/>
    <w:rsid w:val="006413F5"/>
    <w:rsid w:val="00641620"/>
    <w:rsid w:val="00641B69"/>
    <w:rsid w:val="00641B8E"/>
    <w:rsid w:val="00641EDD"/>
    <w:rsid w:val="0064239B"/>
    <w:rsid w:val="0064247A"/>
    <w:rsid w:val="00642DB1"/>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406"/>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284"/>
    <w:rsid w:val="00660B4F"/>
    <w:rsid w:val="0066174C"/>
    <w:rsid w:val="006625C1"/>
    <w:rsid w:val="00662706"/>
    <w:rsid w:val="006627E7"/>
    <w:rsid w:val="00662C69"/>
    <w:rsid w:val="00662D5D"/>
    <w:rsid w:val="006633B1"/>
    <w:rsid w:val="0066352A"/>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DC8"/>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063"/>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AB1"/>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D61"/>
    <w:rsid w:val="006B6027"/>
    <w:rsid w:val="006B641E"/>
    <w:rsid w:val="006B6FFD"/>
    <w:rsid w:val="006B71DD"/>
    <w:rsid w:val="006B7686"/>
    <w:rsid w:val="006B774E"/>
    <w:rsid w:val="006B7996"/>
    <w:rsid w:val="006C0291"/>
    <w:rsid w:val="006C036E"/>
    <w:rsid w:val="006C0440"/>
    <w:rsid w:val="006C11F9"/>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14"/>
    <w:rsid w:val="006E6855"/>
    <w:rsid w:val="006E6BA3"/>
    <w:rsid w:val="006E6BAF"/>
    <w:rsid w:val="006E74F6"/>
    <w:rsid w:val="006E765E"/>
    <w:rsid w:val="006E77E0"/>
    <w:rsid w:val="006F0076"/>
    <w:rsid w:val="006F009A"/>
    <w:rsid w:val="006F00A6"/>
    <w:rsid w:val="006F017D"/>
    <w:rsid w:val="006F03A8"/>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C3"/>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89C"/>
    <w:rsid w:val="00713BC9"/>
    <w:rsid w:val="00714245"/>
    <w:rsid w:val="00714607"/>
    <w:rsid w:val="0071483F"/>
    <w:rsid w:val="00714FE6"/>
    <w:rsid w:val="00715932"/>
    <w:rsid w:val="0071627F"/>
    <w:rsid w:val="007165AB"/>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07"/>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AF5"/>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52E"/>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5D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776E0"/>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CC4"/>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12BA"/>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230"/>
    <w:rsid w:val="007A7FF4"/>
    <w:rsid w:val="007B0496"/>
    <w:rsid w:val="007B0776"/>
    <w:rsid w:val="007B0F99"/>
    <w:rsid w:val="007B1769"/>
    <w:rsid w:val="007B18C4"/>
    <w:rsid w:val="007B2844"/>
    <w:rsid w:val="007B2EA5"/>
    <w:rsid w:val="007B308F"/>
    <w:rsid w:val="007B319C"/>
    <w:rsid w:val="007B3345"/>
    <w:rsid w:val="007B33E8"/>
    <w:rsid w:val="007B352F"/>
    <w:rsid w:val="007B36B7"/>
    <w:rsid w:val="007B3799"/>
    <w:rsid w:val="007B3936"/>
    <w:rsid w:val="007B39FF"/>
    <w:rsid w:val="007B3BF1"/>
    <w:rsid w:val="007B3EE7"/>
    <w:rsid w:val="007B3F4B"/>
    <w:rsid w:val="007B3FAA"/>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053"/>
    <w:rsid w:val="007D43D4"/>
    <w:rsid w:val="007D4A01"/>
    <w:rsid w:val="007D4DC0"/>
    <w:rsid w:val="007D51B4"/>
    <w:rsid w:val="007D536F"/>
    <w:rsid w:val="007D55FD"/>
    <w:rsid w:val="007D5D3E"/>
    <w:rsid w:val="007D689B"/>
    <w:rsid w:val="007D68B6"/>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9B"/>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39"/>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2E"/>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2F48"/>
    <w:rsid w:val="008534AF"/>
    <w:rsid w:val="00853A3E"/>
    <w:rsid w:val="00853B45"/>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83"/>
    <w:rsid w:val="00875CEF"/>
    <w:rsid w:val="00875F9D"/>
    <w:rsid w:val="00876BF4"/>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ED5"/>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A4"/>
    <w:rsid w:val="008E50FB"/>
    <w:rsid w:val="008E5190"/>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3E3E"/>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6DF"/>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92D"/>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BB"/>
    <w:rsid w:val="009211DD"/>
    <w:rsid w:val="009213F0"/>
    <w:rsid w:val="00921A90"/>
    <w:rsid w:val="00921C83"/>
    <w:rsid w:val="009224CA"/>
    <w:rsid w:val="009225F6"/>
    <w:rsid w:val="009231D4"/>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4DB"/>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36E"/>
    <w:rsid w:val="0095046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76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1D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C80"/>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76D"/>
    <w:rsid w:val="009C0054"/>
    <w:rsid w:val="009C0140"/>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124"/>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8E5"/>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420"/>
    <w:rsid w:val="009F4CFF"/>
    <w:rsid w:val="009F5A15"/>
    <w:rsid w:val="009F631C"/>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ED9"/>
    <w:rsid w:val="00A05FC1"/>
    <w:rsid w:val="00A06B2E"/>
    <w:rsid w:val="00A07250"/>
    <w:rsid w:val="00A078AA"/>
    <w:rsid w:val="00A07C3C"/>
    <w:rsid w:val="00A07E1E"/>
    <w:rsid w:val="00A10156"/>
    <w:rsid w:val="00A10CB1"/>
    <w:rsid w:val="00A111E1"/>
    <w:rsid w:val="00A1251C"/>
    <w:rsid w:val="00A1252C"/>
    <w:rsid w:val="00A131FD"/>
    <w:rsid w:val="00A133CC"/>
    <w:rsid w:val="00A138C9"/>
    <w:rsid w:val="00A13DCB"/>
    <w:rsid w:val="00A13EC0"/>
    <w:rsid w:val="00A14DC5"/>
    <w:rsid w:val="00A15067"/>
    <w:rsid w:val="00A15567"/>
    <w:rsid w:val="00A155CB"/>
    <w:rsid w:val="00A15687"/>
    <w:rsid w:val="00A15E54"/>
    <w:rsid w:val="00A16419"/>
    <w:rsid w:val="00A1690D"/>
    <w:rsid w:val="00A169BD"/>
    <w:rsid w:val="00A16C2A"/>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BC8"/>
    <w:rsid w:val="00A350A2"/>
    <w:rsid w:val="00A3525A"/>
    <w:rsid w:val="00A35405"/>
    <w:rsid w:val="00A36771"/>
    <w:rsid w:val="00A36935"/>
    <w:rsid w:val="00A36968"/>
    <w:rsid w:val="00A36D01"/>
    <w:rsid w:val="00A36D87"/>
    <w:rsid w:val="00A37145"/>
    <w:rsid w:val="00A3752B"/>
    <w:rsid w:val="00A37BEB"/>
    <w:rsid w:val="00A37F68"/>
    <w:rsid w:val="00A4010E"/>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2D2"/>
    <w:rsid w:val="00A50461"/>
    <w:rsid w:val="00A50AC8"/>
    <w:rsid w:val="00A50CD6"/>
    <w:rsid w:val="00A5107C"/>
    <w:rsid w:val="00A52A3B"/>
    <w:rsid w:val="00A52E06"/>
    <w:rsid w:val="00A539BC"/>
    <w:rsid w:val="00A53AFE"/>
    <w:rsid w:val="00A5403C"/>
    <w:rsid w:val="00A54DED"/>
    <w:rsid w:val="00A54EEA"/>
    <w:rsid w:val="00A559F4"/>
    <w:rsid w:val="00A56422"/>
    <w:rsid w:val="00A56900"/>
    <w:rsid w:val="00A56A50"/>
    <w:rsid w:val="00A56B17"/>
    <w:rsid w:val="00A56F3F"/>
    <w:rsid w:val="00A56F6D"/>
    <w:rsid w:val="00A57C29"/>
    <w:rsid w:val="00A57CEE"/>
    <w:rsid w:val="00A60759"/>
    <w:rsid w:val="00A60A01"/>
    <w:rsid w:val="00A60B29"/>
    <w:rsid w:val="00A615DE"/>
    <w:rsid w:val="00A616C9"/>
    <w:rsid w:val="00A61CB8"/>
    <w:rsid w:val="00A61F5F"/>
    <w:rsid w:val="00A6252A"/>
    <w:rsid w:val="00A62CC6"/>
    <w:rsid w:val="00A630C9"/>
    <w:rsid w:val="00A630E8"/>
    <w:rsid w:val="00A63472"/>
    <w:rsid w:val="00A63978"/>
    <w:rsid w:val="00A63B8B"/>
    <w:rsid w:val="00A63CD5"/>
    <w:rsid w:val="00A63CFD"/>
    <w:rsid w:val="00A64525"/>
    <w:rsid w:val="00A6469D"/>
    <w:rsid w:val="00A647D2"/>
    <w:rsid w:val="00A64B0A"/>
    <w:rsid w:val="00A652C4"/>
    <w:rsid w:val="00A65AE8"/>
    <w:rsid w:val="00A65CD4"/>
    <w:rsid w:val="00A660BF"/>
    <w:rsid w:val="00A662EC"/>
    <w:rsid w:val="00A66510"/>
    <w:rsid w:val="00A66719"/>
    <w:rsid w:val="00A667E7"/>
    <w:rsid w:val="00A66AE9"/>
    <w:rsid w:val="00A67187"/>
    <w:rsid w:val="00A679F0"/>
    <w:rsid w:val="00A67EC3"/>
    <w:rsid w:val="00A7030F"/>
    <w:rsid w:val="00A705E3"/>
    <w:rsid w:val="00A70DBF"/>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246"/>
    <w:rsid w:val="00A81AD8"/>
    <w:rsid w:val="00A81E21"/>
    <w:rsid w:val="00A82317"/>
    <w:rsid w:val="00A824CB"/>
    <w:rsid w:val="00A8293D"/>
    <w:rsid w:val="00A82FEC"/>
    <w:rsid w:val="00A83230"/>
    <w:rsid w:val="00A83337"/>
    <w:rsid w:val="00A83BE5"/>
    <w:rsid w:val="00A83EDB"/>
    <w:rsid w:val="00A83F92"/>
    <w:rsid w:val="00A842E9"/>
    <w:rsid w:val="00A84B1E"/>
    <w:rsid w:val="00A84CAA"/>
    <w:rsid w:val="00A84F70"/>
    <w:rsid w:val="00A85077"/>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4A6"/>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3E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1A04"/>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81C"/>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5C"/>
    <w:rsid w:val="00B013AE"/>
    <w:rsid w:val="00B0157F"/>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36A"/>
    <w:rsid w:val="00B23502"/>
    <w:rsid w:val="00B23A7B"/>
    <w:rsid w:val="00B2469E"/>
    <w:rsid w:val="00B24762"/>
    <w:rsid w:val="00B24E74"/>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299"/>
    <w:rsid w:val="00B464B1"/>
    <w:rsid w:val="00B4661B"/>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C96"/>
    <w:rsid w:val="00B64E9E"/>
    <w:rsid w:val="00B65408"/>
    <w:rsid w:val="00B65687"/>
    <w:rsid w:val="00B657C7"/>
    <w:rsid w:val="00B66066"/>
    <w:rsid w:val="00B6624B"/>
    <w:rsid w:val="00B66384"/>
    <w:rsid w:val="00B6669E"/>
    <w:rsid w:val="00B670A6"/>
    <w:rsid w:val="00B672A7"/>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0E3"/>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2E8"/>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5B22"/>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C7F2B"/>
    <w:rsid w:val="00BD0600"/>
    <w:rsid w:val="00BD1E46"/>
    <w:rsid w:val="00BD20A2"/>
    <w:rsid w:val="00BD2108"/>
    <w:rsid w:val="00BD2152"/>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B5F"/>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44DB"/>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00"/>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B35"/>
    <w:rsid w:val="00C43487"/>
    <w:rsid w:val="00C43875"/>
    <w:rsid w:val="00C4387A"/>
    <w:rsid w:val="00C43FF0"/>
    <w:rsid w:val="00C4439A"/>
    <w:rsid w:val="00C44A9E"/>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DD3"/>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67D85"/>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716"/>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4E8"/>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A5E"/>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4DF"/>
    <w:rsid w:val="00CD6536"/>
    <w:rsid w:val="00CD65E7"/>
    <w:rsid w:val="00CD6C93"/>
    <w:rsid w:val="00CD7667"/>
    <w:rsid w:val="00CE04BA"/>
    <w:rsid w:val="00CE0709"/>
    <w:rsid w:val="00CE08EE"/>
    <w:rsid w:val="00CE0B54"/>
    <w:rsid w:val="00CE0CB5"/>
    <w:rsid w:val="00CE0D5E"/>
    <w:rsid w:val="00CE1094"/>
    <w:rsid w:val="00CE192C"/>
    <w:rsid w:val="00CE1C2F"/>
    <w:rsid w:val="00CE1C61"/>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3B"/>
    <w:rsid w:val="00D0584C"/>
    <w:rsid w:val="00D05C01"/>
    <w:rsid w:val="00D064E8"/>
    <w:rsid w:val="00D06885"/>
    <w:rsid w:val="00D0714E"/>
    <w:rsid w:val="00D07275"/>
    <w:rsid w:val="00D0772E"/>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15D"/>
    <w:rsid w:val="00D62650"/>
    <w:rsid w:val="00D6349E"/>
    <w:rsid w:val="00D6353C"/>
    <w:rsid w:val="00D63646"/>
    <w:rsid w:val="00D640CB"/>
    <w:rsid w:val="00D644F5"/>
    <w:rsid w:val="00D64617"/>
    <w:rsid w:val="00D64899"/>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906"/>
    <w:rsid w:val="00DA1A5F"/>
    <w:rsid w:val="00DA1AD9"/>
    <w:rsid w:val="00DA1D95"/>
    <w:rsid w:val="00DA1E27"/>
    <w:rsid w:val="00DA2007"/>
    <w:rsid w:val="00DA2D8C"/>
    <w:rsid w:val="00DA327E"/>
    <w:rsid w:val="00DA32FA"/>
    <w:rsid w:val="00DA367A"/>
    <w:rsid w:val="00DA369B"/>
    <w:rsid w:val="00DA3B8B"/>
    <w:rsid w:val="00DA3FFE"/>
    <w:rsid w:val="00DA4099"/>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A7DD1"/>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1C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3FA"/>
    <w:rsid w:val="00E0541F"/>
    <w:rsid w:val="00E0562E"/>
    <w:rsid w:val="00E0576C"/>
    <w:rsid w:val="00E05B75"/>
    <w:rsid w:val="00E0629D"/>
    <w:rsid w:val="00E068F1"/>
    <w:rsid w:val="00E069A8"/>
    <w:rsid w:val="00E07131"/>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32E"/>
    <w:rsid w:val="00E17A64"/>
    <w:rsid w:val="00E201E2"/>
    <w:rsid w:val="00E20463"/>
    <w:rsid w:val="00E214FD"/>
    <w:rsid w:val="00E215BD"/>
    <w:rsid w:val="00E21CDE"/>
    <w:rsid w:val="00E21E30"/>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47"/>
    <w:rsid w:val="00E33BBD"/>
    <w:rsid w:val="00E34117"/>
    <w:rsid w:val="00E34810"/>
    <w:rsid w:val="00E34909"/>
    <w:rsid w:val="00E34AE8"/>
    <w:rsid w:val="00E356E8"/>
    <w:rsid w:val="00E35A29"/>
    <w:rsid w:val="00E362A7"/>
    <w:rsid w:val="00E36366"/>
    <w:rsid w:val="00E3665D"/>
    <w:rsid w:val="00E3673A"/>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9EA"/>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A6"/>
    <w:rsid w:val="00E6150C"/>
    <w:rsid w:val="00E615BA"/>
    <w:rsid w:val="00E617D1"/>
    <w:rsid w:val="00E61EA3"/>
    <w:rsid w:val="00E622B1"/>
    <w:rsid w:val="00E62706"/>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645"/>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03"/>
    <w:rsid w:val="00E93CDE"/>
    <w:rsid w:val="00E94427"/>
    <w:rsid w:val="00E946A6"/>
    <w:rsid w:val="00E94E8C"/>
    <w:rsid w:val="00E95245"/>
    <w:rsid w:val="00E9555D"/>
    <w:rsid w:val="00E95792"/>
    <w:rsid w:val="00E957C2"/>
    <w:rsid w:val="00E9588D"/>
    <w:rsid w:val="00E95DF7"/>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5E2"/>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7CE"/>
    <w:rsid w:val="00ED09D6"/>
    <w:rsid w:val="00ED0BCA"/>
    <w:rsid w:val="00ED1344"/>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4FB6"/>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A7E"/>
    <w:rsid w:val="00EE3FFD"/>
    <w:rsid w:val="00EE43B9"/>
    <w:rsid w:val="00EE477D"/>
    <w:rsid w:val="00EE4DA0"/>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B03"/>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AFE"/>
    <w:rsid w:val="00F16BAF"/>
    <w:rsid w:val="00F16D27"/>
    <w:rsid w:val="00F17876"/>
    <w:rsid w:val="00F179C6"/>
    <w:rsid w:val="00F179F9"/>
    <w:rsid w:val="00F17A8D"/>
    <w:rsid w:val="00F20542"/>
    <w:rsid w:val="00F205F3"/>
    <w:rsid w:val="00F2061C"/>
    <w:rsid w:val="00F20C59"/>
    <w:rsid w:val="00F20D62"/>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0D3"/>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4BD"/>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3A4"/>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352"/>
    <w:rsid w:val="00F574B2"/>
    <w:rsid w:val="00F577A4"/>
    <w:rsid w:val="00F57B4D"/>
    <w:rsid w:val="00F57C83"/>
    <w:rsid w:val="00F57FB7"/>
    <w:rsid w:val="00F60EA0"/>
    <w:rsid w:val="00F615AC"/>
    <w:rsid w:val="00F61CFF"/>
    <w:rsid w:val="00F61D92"/>
    <w:rsid w:val="00F62008"/>
    <w:rsid w:val="00F62812"/>
    <w:rsid w:val="00F62855"/>
    <w:rsid w:val="00F62AFB"/>
    <w:rsid w:val="00F62CD9"/>
    <w:rsid w:val="00F6365F"/>
    <w:rsid w:val="00F637C2"/>
    <w:rsid w:val="00F63DEC"/>
    <w:rsid w:val="00F640E7"/>
    <w:rsid w:val="00F64109"/>
    <w:rsid w:val="00F64240"/>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A7C85"/>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ED9"/>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837"/>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2E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B5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20B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B5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999119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373771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060217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172584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056196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8892440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54577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498893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7AF2A-50DD-4B4B-9501-90D2DF9A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2022-08-10T15:40:00Z</dcterms:created>
  <dcterms:modified xsi:type="dcterms:W3CDTF">2022-08-10T15:40:00Z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